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F16" w:rsidRDefault="003C7F16" w:rsidP="003C7F16">
      <w:r>
        <w:t>AP® ENGLISH LANGUAGE AND COMPOSITION</w:t>
      </w:r>
    </w:p>
    <w:p w:rsidR="003C7F16" w:rsidRDefault="003C7F16" w:rsidP="003C7F16">
      <w:r>
        <w:t>2014 SCORING GUIDELINES</w:t>
      </w:r>
    </w:p>
    <w:p w:rsidR="003C7F16" w:rsidRDefault="003C7F16" w:rsidP="003C7F16">
      <w:r>
        <w:t>© 2014 The College Board.</w:t>
      </w:r>
    </w:p>
    <w:p w:rsidR="003C7F16" w:rsidRPr="003C7F16" w:rsidRDefault="003C7F16" w:rsidP="003C7F16">
      <w:pPr>
        <w:jc w:val="center"/>
        <w:rPr>
          <w:b/>
          <w:u w:val="single"/>
        </w:rPr>
      </w:pPr>
      <w:r w:rsidRPr="003C7F16">
        <w:rPr>
          <w:b/>
          <w:u w:val="single"/>
        </w:rPr>
        <w:t>Rhetorical Analysis Essay</w:t>
      </w:r>
      <w:r w:rsidR="006449AA">
        <w:rPr>
          <w:b/>
          <w:u w:val="single"/>
        </w:rPr>
        <w:t xml:space="preserve"> Rubric</w:t>
      </w:r>
      <w:bookmarkStart w:id="0" w:name="_GoBack"/>
      <w:bookmarkEnd w:id="0"/>
    </w:p>
    <w:p w:rsidR="003C7F16" w:rsidRDefault="003C7F16" w:rsidP="003C7F16">
      <w:r>
        <w:t xml:space="preserve">The essay score should reflect the essay’s quality as a whole. </w:t>
      </w:r>
      <w:r>
        <w:t xml:space="preserve"> </w:t>
      </w:r>
      <w:r>
        <w:t>All essays, even those scored 8 or 9, may contain occasional laps</w:t>
      </w:r>
      <w:r>
        <w:t xml:space="preserve">es in analysis, prose style, or </w:t>
      </w:r>
      <w:r>
        <w:t>mechanics. Such features should enter into a holistic evaluation of an essa</w:t>
      </w:r>
      <w:r>
        <w:t xml:space="preserve">y’s overall quality. </w:t>
      </w:r>
      <w:r w:rsidRPr="003C7F16">
        <w:rPr>
          <w:u w:val="single"/>
        </w:rPr>
        <w:t xml:space="preserve">In no case </w:t>
      </w:r>
      <w:r w:rsidRPr="003C7F16">
        <w:rPr>
          <w:u w:val="single"/>
        </w:rPr>
        <w:t>should an essay with many distracting errors in grammar and mechanics score higher than a 2.</w:t>
      </w:r>
    </w:p>
    <w:p w:rsidR="00C562F6" w:rsidRDefault="00C562F6" w:rsidP="003C7F16"/>
    <w:p w:rsidR="003C7F16" w:rsidRPr="00D11ECC" w:rsidRDefault="003C7F16" w:rsidP="003C7F16">
      <w:pPr>
        <w:rPr>
          <w:b/>
        </w:rPr>
      </w:pPr>
      <w:r w:rsidRPr="00D11ECC">
        <w:rPr>
          <w:b/>
        </w:rPr>
        <w:t>Highly Effective</w:t>
      </w:r>
    </w:p>
    <w:p w:rsidR="003C7F16" w:rsidRDefault="003C7F16" w:rsidP="003C7F16">
      <w:r>
        <w:t>9 – Essays earning a score of 9 meet the criteria for the score of 8 a</w:t>
      </w:r>
      <w:r>
        <w:t xml:space="preserve">nd, in addition, are especially </w:t>
      </w:r>
      <w:r>
        <w:t>sophisticated in their argument, thorough in their development, or</w:t>
      </w:r>
      <w:r>
        <w:t xml:space="preserve"> impressive in their control of </w:t>
      </w:r>
      <w:r>
        <w:t>language.</w:t>
      </w:r>
    </w:p>
    <w:p w:rsidR="003C7F16" w:rsidRDefault="003C7F16" w:rsidP="003C7F16">
      <w:r>
        <w:t>8 –</w:t>
      </w:r>
      <w:r w:rsidRPr="00D11ECC">
        <w:rPr>
          <w:b/>
        </w:rPr>
        <w:t xml:space="preserve"> Effective</w:t>
      </w:r>
    </w:p>
    <w:p w:rsidR="003C7F16" w:rsidRDefault="003C7F16" w:rsidP="003C7F16">
      <w:r>
        <w:t>Essays earning a score of 8 effectively analyze the rhetorical strategie</w:t>
      </w:r>
      <w:r w:rsidR="00D11ECC">
        <w:t xml:space="preserve">s </w:t>
      </w:r>
      <w:r w:rsidR="00C562F6">
        <w:t>King uses</w:t>
      </w:r>
      <w:r w:rsidR="00D11ECC">
        <w:t xml:space="preserve"> to defend the strategy of nonviolent resistance to racism. </w:t>
      </w:r>
      <w:r>
        <w:t xml:space="preserve">They develop their analysis* with evidence and explanations that </w:t>
      </w:r>
      <w:r>
        <w:t xml:space="preserve">are appropriate and convincing, </w:t>
      </w:r>
      <w:r>
        <w:t xml:space="preserve">referring to the passage explicitly or implicitly. The prose demonstrates a </w:t>
      </w:r>
      <w:r>
        <w:t xml:space="preserve">consistent ability to control a </w:t>
      </w:r>
      <w:r>
        <w:t>wide range of the elements of effective writing but is not necessarily flawless.</w:t>
      </w:r>
    </w:p>
    <w:p w:rsidR="003C7F16" w:rsidRDefault="003C7F16" w:rsidP="003C7F16">
      <w:r>
        <w:t>7 – Essays earning a score of 7 meet the criteria for the score</w:t>
      </w:r>
      <w:r>
        <w:t xml:space="preserve"> of 6 but provide more complete </w:t>
      </w:r>
      <w:r>
        <w:t>explanation, more thorough development, or a more mature prose style.</w:t>
      </w:r>
    </w:p>
    <w:p w:rsidR="003C7F16" w:rsidRDefault="003C7F16" w:rsidP="003C7F16">
      <w:r>
        <w:t xml:space="preserve">6 – </w:t>
      </w:r>
      <w:r w:rsidRPr="00D11ECC">
        <w:rPr>
          <w:b/>
        </w:rPr>
        <w:t>Adequate</w:t>
      </w:r>
    </w:p>
    <w:p w:rsidR="003C7F16" w:rsidRDefault="003C7F16" w:rsidP="003C7F16">
      <w:r>
        <w:t>Essays earning a score of 6 adequately analyze the rhetorical strategie</w:t>
      </w:r>
      <w:r>
        <w:t>s</w:t>
      </w:r>
      <w:r w:rsidR="009E48AE" w:rsidRPr="009E48AE">
        <w:t xml:space="preserve"> </w:t>
      </w:r>
      <w:r w:rsidR="00C562F6">
        <w:t>King uses</w:t>
      </w:r>
      <w:r w:rsidR="009E48AE">
        <w:t xml:space="preserve"> to defend the strategy of nonviolent resistance to racism</w:t>
      </w:r>
      <w:r>
        <w:t xml:space="preserve">. </w:t>
      </w:r>
      <w:r>
        <w:t>They develop their analysis with evidence and explanations that are approp</w:t>
      </w:r>
      <w:r>
        <w:t xml:space="preserve">riate and sufficient, referring </w:t>
      </w:r>
      <w:r>
        <w:t>to the passage explicitly or implicitly. The writing may contain lapses in d</w:t>
      </w:r>
      <w:r>
        <w:t xml:space="preserve">iction or syntax, but generally </w:t>
      </w:r>
      <w:r>
        <w:t>the prose is clear.</w:t>
      </w:r>
    </w:p>
    <w:p w:rsidR="003C7F16" w:rsidRDefault="003C7F16" w:rsidP="003C7F16">
      <w:r>
        <w:t>5 – Essays earning a score of 5 analyze the rhetorical strategie</w:t>
      </w:r>
      <w:r w:rsidR="0080293F">
        <w:t>s</w:t>
      </w:r>
      <w:r w:rsidR="0080293F" w:rsidRPr="0080293F">
        <w:t xml:space="preserve"> </w:t>
      </w:r>
      <w:r w:rsidR="00C562F6">
        <w:t>King uses</w:t>
      </w:r>
      <w:r w:rsidR="0080293F">
        <w:t xml:space="preserve"> to defend the strategy of nonviolent resistance to racism</w:t>
      </w:r>
      <w:r>
        <w:t xml:space="preserve">. </w:t>
      </w:r>
      <w:r>
        <w:t>The evidence or explanations used may be uneven, inconsiste</w:t>
      </w:r>
      <w:r>
        <w:t xml:space="preserve">nt, or limited. The writing may </w:t>
      </w:r>
      <w:r>
        <w:t>contain lapses in diction or syntax, but it usually conveys the writer’s ideas.</w:t>
      </w:r>
    </w:p>
    <w:p w:rsidR="003C7F16" w:rsidRDefault="003C7F16" w:rsidP="003C7F16">
      <w:r>
        <w:t>4 –</w:t>
      </w:r>
      <w:r w:rsidRPr="00D11ECC">
        <w:rPr>
          <w:b/>
        </w:rPr>
        <w:t xml:space="preserve"> Inadequate</w:t>
      </w:r>
    </w:p>
    <w:p w:rsidR="003C7F16" w:rsidRDefault="003C7F16" w:rsidP="003C7F16">
      <w:r>
        <w:t>Essays earning a score of 4 inadequately analyze the rhetorical strate</w:t>
      </w:r>
      <w:r>
        <w:t>gies</w:t>
      </w:r>
      <w:r w:rsidR="0080293F" w:rsidRPr="0080293F">
        <w:t xml:space="preserve"> </w:t>
      </w:r>
      <w:r w:rsidR="00C562F6">
        <w:t>King uses</w:t>
      </w:r>
      <w:r w:rsidR="0080293F">
        <w:t xml:space="preserve"> to defend the strategy of nonviolent resistance to racism</w:t>
      </w:r>
      <w:r>
        <w:t>. These essays may misunderstand the passage, misrepresent th</w:t>
      </w:r>
      <w:r w:rsidR="00C562F6">
        <w:t>e strategies King</w:t>
      </w:r>
      <w:r>
        <w:t xml:space="preserve"> uses, or may </w:t>
      </w:r>
      <w:r>
        <w:t>analyze these strategies insufficiently. The evidence or explanat</w:t>
      </w:r>
      <w:r>
        <w:t xml:space="preserve">ions used may be inappropriate, </w:t>
      </w:r>
      <w:r>
        <w:t>insufficient, or unconvincing. The prose generally conveys the writer’s i</w:t>
      </w:r>
      <w:r>
        <w:t xml:space="preserve">deas but may be inconsistent in </w:t>
      </w:r>
      <w:r>
        <w:t>controlling the elements of effective writing.</w:t>
      </w:r>
    </w:p>
    <w:p w:rsidR="003C7F16" w:rsidRDefault="003C7F16" w:rsidP="003C7F16">
      <w:r>
        <w:lastRenderedPageBreak/>
        <w:t>3 – Essays earning a score of 3 meet the criteria for the score of</w:t>
      </w:r>
      <w:r>
        <w:t xml:space="preserve"> 4 but demonstrate less success </w:t>
      </w:r>
      <w:r>
        <w:t>in analyzing the rhetorical strategies</w:t>
      </w:r>
      <w:r w:rsidR="0080293F" w:rsidRPr="0080293F">
        <w:t xml:space="preserve"> </w:t>
      </w:r>
      <w:r w:rsidR="0080293F">
        <w:t>King uses to defend the strategy of nonviolent resistance to racism</w:t>
      </w:r>
      <w:r>
        <w:t xml:space="preserve">. They are less perceptive in </w:t>
      </w:r>
      <w:r>
        <w:t>their under</w:t>
      </w:r>
      <w:r w:rsidR="0080293F">
        <w:t>standing of the passage or King</w:t>
      </w:r>
      <w:r>
        <w:t>’s strategies, or t</w:t>
      </w:r>
      <w:r>
        <w:t xml:space="preserve">he explanations or examples may </w:t>
      </w:r>
      <w:r>
        <w:t>be particularly limited or simplistic. The essays may show less maturity in control of writing.</w:t>
      </w:r>
    </w:p>
    <w:p w:rsidR="003C7F16" w:rsidRDefault="003C7F16" w:rsidP="003C7F16">
      <w:r>
        <w:t xml:space="preserve">2 – </w:t>
      </w:r>
      <w:r w:rsidRPr="00D11ECC">
        <w:rPr>
          <w:b/>
        </w:rPr>
        <w:t>Little Success</w:t>
      </w:r>
    </w:p>
    <w:p w:rsidR="003C7F16" w:rsidRDefault="003C7F16" w:rsidP="003C7F16">
      <w:r>
        <w:t>Essays earning a score of 2 demonstrate little success in analyzing the rhetor</w:t>
      </w:r>
      <w:r>
        <w:t>ical strategies</w:t>
      </w:r>
      <w:r w:rsidR="0080293F" w:rsidRPr="0080293F">
        <w:t xml:space="preserve"> </w:t>
      </w:r>
      <w:r w:rsidR="0080293F">
        <w:t>King uses to defend the strategy of nonviolent resistance to racism</w:t>
      </w:r>
      <w:r>
        <w:t>. These essays may misunderstand the promp</w:t>
      </w:r>
      <w:r>
        <w:t xml:space="preserve">t, misread the passage, fail to </w:t>
      </w:r>
      <w:r w:rsidR="0080293F">
        <w:t>analyze the strategies King u</w:t>
      </w:r>
      <w:r>
        <w:t>ses, or substitute a simpler task by respon</w:t>
      </w:r>
      <w:r>
        <w:t xml:space="preserve">ding to the prompt tangentially </w:t>
      </w:r>
      <w:r>
        <w:t>with unrelated, inaccurate, or inappropriate explanation. The pros</w:t>
      </w:r>
      <w:r>
        <w:t xml:space="preserve">e often demonstrates consistent </w:t>
      </w:r>
      <w:r>
        <w:t>weaknesses in writing, such as grammatical problems, a lack of develop</w:t>
      </w:r>
      <w:r>
        <w:t xml:space="preserve">ment or organization, or a lack </w:t>
      </w:r>
      <w:r>
        <w:t>of control.</w:t>
      </w:r>
    </w:p>
    <w:p w:rsidR="003C7F16" w:rsidRDefault="003C7F16" w:rsidP="003C7F16">
      <w:r>
        <w:t xml:space="preserve">1 – Essays earning a score of 1 meet the criteria for the score of 2 but are </w:t>
      </w:r>
      <w:r>
        <w:t xml:space="preserve">undeveloped, </w:t>
      </w:r>
      <w:r>
        <w:t>especially simplistic in their explanation, or weak in their control of language.</w:t>
      </w:r>
    </w:p>
    <w:p w:rsidR="003C7F16" w:rsidRDefault="003C7F16" w:rsidP="003C7F16">
      <w:r>
        <w:t xml:space="preserve">0 – Indicates an off-topic response, one that merely repeats the </w:t>
      </w:r>
      <w:r>
        <w:t xml:space="preserve">prompt, an entirely crossed-out </w:t>
      </w:r>
      <w:r>
        <w:t>response, a drawing, or a response in a language other than English.</w:t>
      </w:r>
    </w:p>
    <w:p w:rsidR="003C7F16" w:rsidRPr="00D11ECC" w:rsidRDefault="003C7F16" w:rsidP="003C7F16">
      <w:pPr>
        <w:rPr>
          <w:i/>
        </w:rPr>
      </w:pPr>
      <w:r w:rsidRPr="00D11ECC">
        <w:rPr>
          <w:i/>
        </w:rPr>
        <w:t>— Indicates an entirely blank response.</w:t>
      </w:r>
    </w:p>
    <w:p w:rsidR="000B686F" w:rsidRPr="00D11ECC" w:rsidRDefault="003C7F16" w:rsidP="003C7F16">
      <w:pPr>
        <w:rPr>
          <w:i/>
        </w:rPr>
      </w:pPr>
      <w:r w:rsidRPr="00D11ECC">
        <w:rPr>
          <w:i/>
        </w:rPr>
        <w:t>* For the purposes of scoring, analysis means explaining the rhetorica</w:t>
      </w:r>
      <w:r w:rsidRPr="00D11ECC">
        <w:rPr>
          <w:i/>
        </w:rPr>
        <w:t xml:space="preserve">l choices an author makes in an </w:t>
      </w:r>
      <w:r w:rsidRPr="00D11ECC">
        <w:rPr>
          <w:i/>
        </w:rPr>
        <w:t>attempt to achieve a particular effect or purpose.</w:t>
      </w:r>
    </w:p>
    <w:p w:rsidR="003C7F16" w:rsidRDefault="003C7F16" w:rsidP="003C7F16"/>
    <w:p w:rsidR="003C7F16" w:rsidRDefault="003C7F16" w:rsidP="003C7F16">
      <w:r>
        <w:t>General AP Language &amp; Composition Free-Response Scoring Rubric</w:t>
      </w:r>
    </w:p>
    <w:tbl>
      <w:tblPr>
        <w:tblW w:w="23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941"/>
        <w:gridCol w:w="902"/>
      </w:tblGrid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9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98 - 100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A+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9↓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96-97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High A</w:t>
            </w:r>
          </w:p>
        </w:tc>
      </w:tr>
      <w:tr w:rsidR="003C7F16" w:rsidRPr="0022417A" w:rsidTr="009E0C79">
        <w:trPr>
          <w:trHeight w:val="341"/>
        </w:trPr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8↑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94-95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A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 xml:space="preserve">  8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92-93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High A-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8↓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90-91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A-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7↑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89-90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Low A-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7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87-88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High B+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7↓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86-87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B+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6↑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85-86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Low B+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6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83-85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High B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6↓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81-82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B or B-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5↑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79-80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C+</w:t>
            </w:r>
            <w:r>
              <w:t xml:space="preserve"> / B-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5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77-78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C</w:t>
            </w:r>
            <w:r>
              <w:t>+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5↓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75-76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C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>
              <w:t>4</w:t>
            </w:r>
            <w:r w:rsidRPr="0022417A">
              <w:t>↑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>
              <w:t>73-74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>
              <w:t>Low C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4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70-7</w:t>
            </w:r>
            <w:r>
              <w:t>2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C-</w:t>
            </w:r>
          </w:p>
        </w:tc>
      </w:tr>
      <w:tr w:rsidR="003C7F16" w:rsidRPr="0022417A" w:rsidTr="009E0C79"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3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67-69</w:t>
            </w:r>
          </w:p>
        </w:tc>
        <w:tc>
          <w:tcPr>
            <w:tcW w:w="0" w:type="auto"/>
          </w:tcPr>
          <w:p w:rsidR="003C7F16" w:rsidRPr="0022417A" w:rsidRDefault="003C7F16" w:rsidP="009E0C79">
            <w:pPr>
              <w:spacing w:after="0" w:line="240" w:lineRule="auto"/>
            </w:pPr>
            <w:r w:rsidRPr="0022417A">
              <w:t>D+</w:t>
            </w:r>
          </w:p>
        </w:tc>
      </w:tr>
    </w:tbl>
    <w:p w:rsidR="003C7F16" w:rsidRDefault="003C7F16" w:rsidP="003C7F16"/>
    <w:sectPr w:rsidR="003C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16"/>
    <w:rsid w:val="000B686F"/>
    <w:rsid w:val="003C7F16"/>
    <w:rsid w:val="006449AA"/>
    <w:rsid w:val="0080293F"/>
    <w:rsid w:val="009E48AE"/>
    <w:rsid w:val="00C562F6"/>
    <w:rsid w:val="00D1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13213A5F-9033-4D5D-B98B-53E616D3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5</cp:revision>
  <dcterms:created xsi:type="dcterms:W3CDTF">2015-03-17T17:29:00Z</dcterms:created>
  <dcterms:modified xsi:type="dcterms:W3CDTF">2015-03-17T17:46:00Z</dcterms:modified>
</cp:coreProperties>
</file>