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D4" w:rsidRDefault="002904D4" w:rsidP="002904D4">
      <w:pPr>
        <w:autoSpaceDE w:val="0"/>
        <w:autoSpaceDN w:val="0"/>
        <w:adjustRightInd w:val="0"/>
        <w:spacing w:after="0" w:line="240" w:lineRule="auto"/>
        <w:jc w:val="center"/>
        <w:rPr>
          <w:rFonts w:ascii="ArialMT" w:hAnsi="ArialMT" w:cs="ArialMT"/>
          <w:b/>
          <w:bCs/>
        </w:rPr>
      </w:pPr>
      <w:r>
        <w:rPr>
          <w:rFonts w:ascii="ArialMT" w:hAnsi="ArialMT" w:cs="ArialMT"/>
          <w:b/>
          <w:bCs/>
        </w:rPr>
        <w:t>SAYS / DOES ANALYSIS CHART</w:t>
      </w:r>
    </w:p>
    <w:p w:rsidR="002904D4" w:rsidRDefault="002904D4" w:rsidP="002904D4">
      <w:pPr>
        <w:autoSpaceDE w:val="0"/>
        <w:autoSpaceDN w:val="0"/>
        <w:adjustRightInd w:val="0"/>
        <w:spacing w:after="0" w:line="240" w:lineRule="auto"/>
        <w:jc w:val="center"/>
        <w:rPr>
          <w:rFonts w:ascii="ArialMT" w:hAnsi="ArialMT" w:cs="ArialMT"/>
          <w:b/>
          <w:bCs/>
        </w:rPr>
      </w:pPr>
    </w:p>
    <w:p w:rsidR="002904D4" w:rsidRDefault="002904D4" w:rsidP="002904D4">
      <w:pPr>
        <w:autoSpaceDE w:val="0"/>
        <w:autoSpaceDN w:val="0"/>
        <w:adjustRightInd w:val="0"/>
        <w:spacing w:after="0" w:line="240" w:lineRule="auto"/>
        <w:rPr>
          <w:rFonts w:ascii="ArialMT" w:hAnsi="ArialMT" w:cs="ArialMT"/>
          <w:i/>
          <w:iCs/>
        </w:rPr>
      </w:pPr>
      <w:r>
        <w:rPr>
          <w:rFonts w:ascii="ArialMT" w:hAnsi="ArialMT" w:cs="ArialMT"/>
        </w:rPr>
        <w:t xml:space="preserve">When reading text closely, consider what it </w:t>
      </w:r>
      <w:r>
        <w:rPr>
          <w:rFonts w:ascii="ArialMT" w:hAnsi="ArialMT" w:cs="ArialMT"/>
          <w:i/>
          <w:iCs/>
        </w:rPr>
        <w:t xml:space="preserve">does </w:t>
      </w:r>
      <w:r>
        <w:rPr>
          <w:rFonts w:ascii="ArialMT" w:hAnsi="ArialMT" w:cs="ArialMT"/>
        </w:rPr>
        <w:t xml:space="preserve">as well as what it </w:t>
      </w:r>
      <w:r>
        <w:rPr>
          <w:rFonts w:ascii="ArialMT" w:hAnsi="ArialMT" w:cs="ArialMT"/>
          <w:i/>
          <w:iCs/>
        </w:rPr>
        <w:t xml:space="preserve">says. </w:t>
      </w:r>
      <w:r>
        <w:rPr>
          <w:rFonts w:ascii="ArialMT" w:hAnsi="ArialMT" w:cs="ArialMT"/>
        </w:rPr>
        <w:t xml:space="preserve">When you do this, you are thinking about how language </w:t>
      </w:r>
      <w:r>
        <w:rPr>
          <w:rFonts w:ascii="ArialMT" w:hAnsi="ArialMT" w:cs="ArialMT"/>
          <w:i/>
          <w:iCs/>
        </w:rPr>
        <w:t xml:space="preserve">functions, </w:t>
      </w:r>
      <w:r>
        <w:rPr>
          <w:rFonts w:ascii="ArialMT" w:hAnsi="ArialMT" w:cs="ArialMT"/>
        </w:rPr>
        <w:t xml:space="preserve">a dimension that’s distinct from what language </w:t>
      </w:r>
      <w:r>
        <w:rPr>
          <w:rFonts w:ascii="ArialMT" w:hAnsi="ArialMT" w:cs="ArialMT"/>
          <w:i/>
          <w:iCs/>
        </w:rPr>
        <w:t>says.</w:t>
      </w:r>
    </w:p>
    <w:p w:rsidR="002904D4" w:rsidRDefault="002904D4" w:rsidP="002904D4">
      <w:pPr>
        <w:autoSpaceDE w:val="0"/>
        <w:autoSpaceDN w:val="0"/>
        <w:adjustRightInd w:val="0"/>
        <w:spacing w:after="0" w:line="240" w:lineRule="auto"/>
        <w:rPr>
          <w:rFonts w:ascii="ArialMT" w:hAnsi="ArialMT" w:cs="ArialMT"/>
          <w:i/>
          <w:iCs/>
        </w:rPr>
      </w:pPr>
    </w:p>
    <w:p w:rsidR="002904D4" w:rsidRDefault="002904D4" w:rsidP="002904D4">
      <w:pPr>
        <w:autoSpaceDE w:val="0"/>
        <w:autoSpaceDN w:val="0"/>
        <w:adjustRightInd w:val="0"/>
        <w:spacing w:after="0" w:line="240" w:lineRule="auto"/>
        <w:rPr>
          <w:rFonts w:ascii="ArialMT" w:hAnsi="ArialMT" w:cs="ArialMT"/>
        </w:rPr>
      </w:pPr>
      <w:r>
        <w:rPr>
          <w:rFonts w:ascii="ArialMT" w:hAnsi="ArialMT" w:cs="ArialMT"/>
        </w:rPr>
        <w:t xml:space="preserve">“Says statements” </w:t>
      </w:r>
      <w:r>
        <w:rPr>
          <w:rFonts w:ascii="ArialMT" w:hAnsi="ArialMT" w:cs="ArialMT"/>
          <w:i/>
          <w:iCs/>
        </w:rPr>
        <w:t xml:space="preserve">summarize </w:t>
      </w:r>
      <w:r>
        <w:rPr>
          <w:rFonts w:ascii="ArialMT" w:hAnsi="ArialMT" w:cs="ArialMT"/>
        </w:rPr>
        <w:t>the content of text.</w:t>
      </w:r>
    </w:p>
    <w:p w:rsidR="002904D4" w:rsidRDefault="002904D4" w:rsidP="002904D4">
      <w:pPr>
        <w:autoSpaceDE w:val="0"/>
        <w:autoSpaceDN w:val="0"/>
        <w:adjustRightInd w:val="0"/>
        <w:spacing w:after="0" w:line="240" w:lineRule="auto"/>
        <w:rPr>
          <w:rFonts w:ascii="ArialMT" w:hAnsi="ArialMT" w:cs="ArialMT"/>
        </w:rPr>
      </w:pPr>
    </w:p>
    <w:p w:rsidR="002904D4" w:rsidRDefault="002904D4" w:rsidP="002904D4">
      <w:pPr>
        <w:autoSpaceDE w:val="0"/>
        <w:autoSpaceDN w:val="0"/>
        <w:adjustRightInd w:val="0"/>
        <w:spacing w:after="0" w:line="240" w:lineRule="auto"/>
        <w:rPr>
          <w:rFonts w:ascii="ArialMT" w:hAnsi="ArialMT" w:cs="ArialMT"/>
        </w:rPr>
      </w:pPr>
      <w:r>
        <w:rPr>
          <w:rFonts w:ascii="ArialMT" w:hAnsi="ArialMT" w:cs="ArialMT"/>
        </w:rPr>
        <w:t xml:space="preserve">“Does statements” </w:t>
      </w:r>
      <w:r>
        <w:rPr>
          <w:rFonts w:ascii="ArialMT" w:hAnsi="ArialMT" w:cs="ArialMT"/>
          <w:i/>
          <w:iCs/>
        </w:rPr>
        <w:t xml:space="preserve">describe </w:t>
      </w:r>
      <w:r>
        <w:rPr>
          <w:rFonts w:ascii="ArialMT" w:hAnsi="ArialMT" w:cs="ArialMT"/>
        </w:rPr>
        <w:t>construction, organization, and form with as little reference to content as possible.</w:t>
      </w:r>
    </w:p>
    <w:p w:rsidR="002904D4" w:rsidRDefault="002904D4" w:rsidP="002904D4">
      <w:pPr>
        <w:autoSpaceDE w:val="0"/>
        <w:autoSpaceDN w:val="0"/>
        <w:adjustRightInd w:val="0"/>
        <w:spacing w:after="0" w:line="240" w:lineRule="auto"/>
        <w:ind w:left="720"/>
        <w:rPr>
          <w:rFonts w:ascii="ArialMT" w:hAnsi="ArialMT" w:cs="ArialMT"/>
        </w:rPr>
      </w:pPr>
    </w:p>
    <w:p w:rsidR="002904D4" w:rsidRDefault="002904D4" w:rsidP="002904D4">
      <w:pPr>
        <w:autoSpaceDE w:val="0"/>
        <w:autoSpaceDN w:val="0"/>
        <w:adjustRightInd w:val="0"/>
        <w:spacing w:after="0" w:line="240" w:lineRule="auto"/>
        <w:rPr>
          <w:rFonts w:ascii="ArialMT" w:hAnsi="ArialMT" w:cs="ArialMT"/>
        </w:rPr>
      </w:pPr>
      <w:r>
        <w:rPr>
          <w:rFonts w:ascii="ArialMT" w:hAnsi="ArialMT" w:cs="ArialMT"/>
        </w:rPr>
        <w:t>Basically, says/does analysis involves grappling with the difference between the content (</w:t>
      </w:r>
      <w:r>
        <w:rPr>
          <w:rFonts w:ascii="ArialMT" w:hAnsi="ArialMT" w:cs="ArialMT"/>
          <w:i/>
          <w:iCs/>
        </w:rPr>
        <w:t>says</w:t>
      </w:r>
      <w:r>
        <w:rPr>
          <w:rFonts w:ascii="ArialMT" w:hAnsi="ArialMT" w:cs="ArialMT"/>
        </w:rPr>
        <w:t>) and the function and form (</w:t>
      </w:r>
      <w:r>
        <w:rPr>
          <w:rFonts w:ascii="ArialMT" w:hAnsi="ArialMT" w:cs="ArialMT"/>
          <w:i/>
          <w:iCs/>
        </w:rPr>
        <w:t>does</w:t>
      </w:r>
      <w:r>
        <w:rPr>
          <w:rFonts w:ascii="ArialMT" w:hAnsi="ArialMT" w:cs="ArialMT"/>
        </w:rPr>
        <w:t xml:space="preserve">) of a text as represented by its language. While exploring the distinction between form and content may seem challenging, it is a useful tool during close reading and analysis of text. </w:t>
      </w:r>
    </w:p>
    <w:p w:rsidR="002904D4" w:rsidRDefault="002904D4" w:rsidP="002904D4">
      <w:pPr>
        <w:autoSpaceDE w:val="0"/>
        <w:autoSpaceDN w:val="0"/>
        <w:adjustRightInd w:val="0"/>
        <w:spacing w:after="0" w:line="240" w:lineRule="auto"/>
        <w:rPr>
          <w:rFonts w:ascii="ArialMT" w:hAnsi="ArialMT" w:cs="ArialMT"/>
        </w:rPr>
      </w:pPr>
    </w:p>
    <w:p w:rsidR="002904D4" w:rsidRDefault="002904D4" w:rsidP="002904D4">
      <w:pPr>
        <w:autoSpaceDE w:val="0"/>
        <w:autoSpaceDN w:val="0"/>
        <w:adjustRightInd w:val="0"/>
        <w:spacing w:after="0" w:line="240" w:lineRule="auto"/>
        <w:rPr>
          <w:rFonts w:ascii="ArialMT" w:hAnsi="ArialMT" w:cs="ArialMT"/>
        </w:rPr>
      </w:pPr>
      <w:r>
        <w:rPr>
          <w:rFonts w:ascii="ArialMT" w:hAnsi="ArialMT" w:cs="ArialMT"/>
        </w:rPr>
        <w:t xml:space="preserve">It’s often harder to write </w:t>
      </w:r>
      <w:r>
        <w:rPr>
          <w:rFonts w:ascii="ArialMT" w:hAnsi="ArialMT" w:cs="ArialMT"/>
          <w:i/>
          <w:iCs/>
        </w:rPr>
        <w:t xml:space="preserve">does </w:t>
      </w:r>
      <w:r>
        <w:rPr>
          <w:rFonts w:ascii="ArialMT" w:hAnsi="ArialMT" w:cs="ArialMT"/>
        </w:rPr>
        <w:t xml:space="preserve">statements than </w:t>
      </w:r>
      <w:r>
        <w:rPr>
          <w:rFonts w:ascii="ArialMT" w:hAnsi="ArialMT" w:cs="ArialMT"/>
          <w:i/>
          <w:iCs/>
        </w:rPr>
        <w:t xml:space="preserve">says </w:t>
      </w:r>
      <w:r>
        <w:rPr>
          <w:rFonts w:ascii="ArialMT" w:hAnsi="ArialMT" w:cs="ArialMT"/>
        </w:rPr>
        <w:t xml:space="preserve">statements. Most of you have been asked to write content summaries, so </w:t>
      </w:r>
      <w:r>
        <w:rPr>
          <w:rFonts w:ascii="ArialMT" w:hAnsi="ArialMT" w:cs="ArialMT"/>
          <w:i/>
          <w:iCs/>
        </w:rPr>
        <w:t xml:space="preserve">says </w:t>
      </w:r>
      <w:r>
        <w:rPr>
          <w:rFonts w:ascii="ArialMT" w:hAnsi="ArialMT" w:cs="ArialMT"/>
        </w:rPr>
        <w:t>statements probably won’t seem too odd or strange. Here are some consecutive paragraphs from Donald Murray’s “The Stranger in the Photo Is Me” essay,</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followed</w:t>
      </w:r>
      <w:proofErr w:type="gramEnd"/>
      <w:r>
        <w:rPr>
          <w:rFonts w:ascii="ArialMT" w:hAnsi="ArialMT" w:cs="ArialMT"/>
        </w:rPr>
        <w:t xml:space="preserve"> by a </w:t>
      </w:r>
      <w:proofErr w:type="spellStart"/>
      <w:r>
        <w:rPr>
          <w:rFonts w:ascii="ArialMT" w:hAnsi="ArialMT" w:cs="ArialMT"/>
        </w:rPr>
        <w:t>says</w:t>
      </w:r>
      <w:proofErr w:type="spellEnd"/>
      <w:r>
        <w:rPr>
          <w:rFonts w:ascii="ArialMT" w:hAnsi="ArialMT" w:cs="ArialMT"/>
        </w:rPr>
        <w:t>/does statement:</w:t>
      </w:r>
    </w:p>
    <w:p w:rsidR="002904D4" w:rsidRDefault="002904D4" w:rsidP="002904D4">
      <w:pPr>
        <w:autoSpaceDE w:val="0"/>
        <w:autoSpaceDN w:val="0"/>
        <w:adjustRightInd w:val="0"/>
        <w:spacing w:after="0" w:line="240" w:lineRule="auto"/>
        <w:rPr>
          <w:rFonts w:ascii="ArialMT" w:hAnsi="ArialMT" w:cs="ArialMT"/>
        </w:rPr>
      </w:pP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2904D4">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b/>
                <w:bCs/>
              </w:rPr>
            </w:pPr>
            <w:r>
              <w:rPr>
                <w:rFonts w:ascii="ArialMT" w:hAnsi="ArialMT" w:cs="ArialMT"/>
                <w:b/>
                <w:bCs/>
              </w:rPr>
              <w:t>Paragraph from the essay</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b/>
                <w:bCs/>
              </w:rPr>
            </w:pPr>
            <w:r>
              <w:rPr>
                <w:rFonts w:ascii="ArialMT" w:hAnsi="ArialMT" w:cs="ArialMT"/>
                <w:b/>
                <w:bCs/>
              </w:rPr>
              <w:t>What the paragraph “says”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b/>
                <w:bCs/>
              </w:rPr>
            </w:pPr>
            <w:r>
              <w:rPr>
                <w:rFonts w:ascii="ArialMT" w:hAnsi="ArialMT" w:cs="ArialMT"/>
                <w:b/>
                <w:bCs/>
              </w:rPr>
              <w:t>What the paragraph “does”</w:t>
            </w:r>
          </w:p>
        </w:tc>
      </w:tr>
      <w:tr w:rsidR="002904D4">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rPr>
            </w:pPr>
            <w:r>
              <w:rPr>
                <w:rFonts w:ascii="ArialMT" w:hAnsi="ArialMT" w:cs="ArialMT"/>
              </w:rPr>
              <w:t>I was never one to make a big deal over snapshots; I never spent long evenings with the family photograph album. Let’s get on with the living. To heck with yesterday, what are we going to do tomorrow? But with the accumulation of yesterdays and the possibility of shrinking tomorrows, I find myself returning, as many over 60s do, for a second glance and a third at family photos that snatch a moment from time.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rPr>
            </w:pPr>
            <w:r>
              <w:rPr>
                <w:rFonts w:ascii="ArialMT" w:hAnsi="ArialMT" w:cs="ArialMT"/>
              </w:rPr>
              <w:t>Photos were never really important to the author of this personal narrative; he wants to live life, not dwell on the past. However, as he ages and reflects on his dwindling future, he finds that he is looking at family snapshots again and again.</w:t>
            </w:r>
          </w:p>
          <w:p w:rsidR="002904D4" w:rsidRDefault="002904D4">
            <w:pPr>
              <w:autoSpaceDE w:val="0"/>
              <w:autoSpaceDN w:val="0"/>
              <w:adjustRightInd w:val="0"/>
              <w:spacing w:after="0" w:line="240" w:lineRule="auto"/>
              <w:rPr>
                <w:rFonts w:ascii="ArialMT" w:hAnsi="ArialMT" w:cs="ArialMT"/>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rPr>
            </w:pPr>
            <w:r>
              <w:rPr>
                <w:rFonts w:ascii="ArialMT" w:hAnsi="ArialMT" w:cs="ArialMT"/>
              </w:rPr>
              <w:t xml:space="preserve">In paragraph 1, the author of this personal essay </w:t>
            </w:r>
            <w:r>
              <w:rPr>
                <w:rFonts w:ascii="ArialMT" w:hAnsi="ArialMT" w:cs="ArialMT"/>
                <w:i/>
                <w:iCs/>
              </w:rPr>
              <w:t xml:space="preserve">introduces </w:t>
            </w:r>
            <w:r>
              <w:rPr>
                <w:rFonts w:ascii="ArialMT" w:hAnsi="ArialMT" w:cs="ArialMT"/>
              </w:rPr>
              <w:t xml:space="preserve">a subject and </w:t>
            </w:r>
            <w:r>
              <w:rPr>
                <w:rFonts w:ascii="ArialMT" w:hAnsi="ArialMT" w:cs="ArialMT"/>
                <w:i/>
                <w:iCs/>
              </w:rPr>
              <w:t xml:space="preserve">conveys </w:t>
            </w:r>
            <w:r>
              <w:rPr>
                <w:rFonts w:ascii="ArialMT" w:hAnsi="ArialMT" w:cs="ArialMT"/>
              </w:rPr>
              <w:t xml:space="preserve">his initial attitude toward it. He </w:t>
            </w:r>
            <w:r>
              <w:rPr>
                <w:rFonts w:ascii="ArialMT" w:hAnsi="ArialMT" w:cs="ArialMT"/>
                <w:i/>
                <w:iCs/>
              </w:rPr>
              <w:t xml:space="preserve">notes </w:t>
            </w:r>
            <w:r>
              <w:rPr>
                <w:rFonts w:ascii="ArialMT" w:hAnsi="ArialMT" w:cs="ArialMT"/>
              </w:rPr>
              <w:t xml:space="preserve">a change in his attitude and </w:t>
            </w:r>
            <w:r>
              <w:rPr>
                <w:rFonts w:ascii="ArialMT" w:hAnsi="ArialMT" w:cs="ArialMT"/>
                <w:i/>
                <w:iCs/>
              </w:rPr>
              <w:t xml:space="preserve">refers </w:t>
            </w:r>
            <w:r>
              <w:rPr>
                <w:rFonts w:ascii="ArialMT" w:hAnsi="ArialMT" w:cs="ArialMT"/>
              </w:rPr>
              <w:t>to a related change in his habits.</w:t>
            </w:r>
          </w:p>
          <w:p w:rsidR="002904D4" w:rsidRDefault="002904D4">
            <w:pPr>
              <w:autoSpaceDE w:val="0"/>
              <w:autoSpaceDN w:val="0"/>
              <w:adjustRightInd w:val="0"/>
              <w:spacing w:after="0" w:line="240" w:lineRule="auto"/>
              <w:rPr>
                <w:rFonts w:ascii="ArialMT" w:hAnsi="ArialMT" w:cs="ArialMT"/>
              </w:rPr>
            </w:pPr>
          </w:p>
        </w:tc>
      </w:tr>
      <w:tr w:rsidR="002904D4">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rPr>
            </w:pPr>
            <w:r>
              <w:rPr>
                <w:rFonts w:ascii="ArialMT" w:hAnsi="ArialMT" w:cs="ArialMT"/>
              </w:rPr>
              <w:t xml:space="preserve">In looking at mine, I become aware that it is so recent in the stretch of man’s history that we have been able to stop time in this way and hold still for reflection. Vermeer is one of my favorite painters because of that sense of suspended time, with both clock and calendar held so wonderfully, so terribly still.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rPr>
            </w:pPr>
            <w:r>
              <w:rPr>
                <w:rFonts w:ascii="ArialMT" w:hAnsi="ArialMT" w:cs="ArialMT"/>
              </w:rPr>
              <w:t>As a result of looking at these pictures, he thinks about the relatively short time people have had the ability to capture moments with a camera. He thinks of how Vermeer, one of his favorite artists, did so in his paintings, long ago.</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rPr>
            </w:pPr>
            <w:r>
              <w:rPr>
                <w:rFonts w:ascii="ArialMT" w:hAnsi="ArialMT" w:cs="ArialMT"/>
              </w:rPr>
              <w:t xml:space="preserve">In this paragraph, the author </w:t>
            </w:r>
            <w:r>
              <w:rPr>
                <w:rFonts w:ascii="ArialMT" w:hAnsi="ArialMT" w:cs="ArialMT"/>
                <w:i/>
                <w:iCs/>
              </w:rPr>
              <w:t xml:space="preserve">further reflects </w:t>
            </w:r>
            <w:r>
              <w:rPr>
                <w:rFonts w:ascii="ArialMT" w:hAnsi="ArialMT" w:cs="ArialMT"/>
              </w:rPr>
              <w:t xml:space="preserve">on the general subject. He </w:t>
            </w:r>
            <w:r>
              <w:rPr>
                <w:rFonts w:ascii="ArialMT" w:hAnsi="ArialMT" w:cs="ArialMT"/>
                <w:i/>
                <w:iCs/>
              </w:rPr>
              <w:t xml:space="preserve">elaborates </w:t>
            </w:r>
            <w:r>
              <w:rPr>
                <w:rFonts w:ascii="ArialMT" w:hAnsi="ArialMT" w:cs="ArialMT"/>
              </w:rPr>
              <w:t xml:space="preserve">on this idea; he </w:t>
            </w:r>
            <w:r>
              <w:rPr>
                <w:rFonts w:ascii="ArialMT" w:hAnsi="ArialMT" w:cs="ArialMT"/>
                <w:i/>
                <w:iCs/>
              </w:rPr>
              <w:t xml:space="preserve">illustrates </w:t>
            </w:r>
            <w:r>
              <w:rPr>
                <w:rFonts w:ascii="ArialMT" w:hAnsi="ArialMT" w:cs="ArialMT"/>
              </w:rPr>
              <w:t xml:space="preserve">his thinking when he </w:t>
            </w:r>
            <w:r>
              <w:rPr>
                <w:rFonts w:ascii="ArialMT" w:hAnsi="ArialMT" w:cs="ArialMT"/>
                <w:i/>
                <w:iCs/>
              </w:rPr>
              <w:t xml:space="preserve">makes </w:t>
            </w:r>
            <w:r>
              <w:rPr>
                <w:rFonts w:ascii="ArialMT" w:hAnsi="ArialMT" w:cs="ArialMT"/>
              </w:rPr>
              <w:t xml:space="preserve">a historical reference; he </w:t>
            </w:r>
            <w:r>
              <w:rPr>
                <w:rFonts w:ascii="ArialMT" w:hAnsi="ArialMT" w:cs="ArialMT"/>
                <w:i/>
                <w:iCs/>
              </w:rPr>
              <w:t xml:space="preserve">cites </w:t>
            </w:r>
            <w:r>
              <w:rPr>
                <w:rFonts w:ascii="ArialMT" w:hAnsi="ArialMT" w:cs="ArialMT"/>
              </w:rPr>
              <w:t>a personal preference involving a related object.</w:t>
            </w:r>
          </w:p>
          <w:p w:rsidR="002904D4" w:rsidRDefault="002904D4">
            <w:pPr>
              <w:autoSpaceDE w:val="0"/>
              <w:autoSpaceDN w:val="0"/>
              <w:adjustRightInd w:val="0"/>
              <w:spacing w:after="0" w:line="240" w:lineRule="auto"/>
              <w:rPr>
                <w:rFonts w:ascii="ArialMT" w:hAnsi="ArialMT" w:cs="ArialMT"/>
              </w:rPr>
            </w:pPr>
          </w:p>
        </w:tc>
      </w:tr>
      <w:tr w:rsidR="002904D4">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rPr>
            </w:pPr>
            <w:r>
              <w:rPr>
                <w:rFonts w:ascii="ArialMT" w:hAnsi="ArialMT" w:cs="ArialMT"/>
              </w:rPr>
              <w:lastRenderedPageBreak/>
              <w:t>The people in the snapshots are all strangers. My parents young, caught before I arrived or as they were when I saw them as towering grown-ups. They seemed so old then and so young now. And I am, to me, the strangest of all.</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rPr>
            </w:pPr>
            <w:r>
              <w:rPr>
                <w:rFonts w:ascii="ArialMT" w:hAnsi="ArialMT" w:cs="ArialMT"/>
              </w:rPr>
              <w:t>Looking at family photos again, he notes that the people look different in the photos taken when he was just a child. Looking at the images, he remembers that back then these people seemed and looked so old, and now they look so young. He then says that his own images strike him as the most strange.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904D4" w:rsidRDefault="002904D4">
            <w:pPr>
              <w:autoSpaceDE w:val="0"/>
              <w:autoSpaceDN w:val="0"/>
              <w:adjustRightInd w:val="0"/>
              <w:spacing w:after="0" w:line="240" w:lineRule="auto"/>
              <w:rPr>
                <w:rFonts w:ascii="ArialMT" w:hAnsi="ArialMT" w:cs="ArialMT"/>
              </w:rPr>
            </w:pPr>
            <w:r>
              <w:rPr>
                <w:rFonts w:ascii="ArialMT" w:hAnsi="ArialMT" w:cs="ArialMT"/>
              </w:rPr>
              <w:t xml:space="preserve">In this paragraph, the author </w:t>
            </w:r>
            <w:r>
              <w:rPr>
                <w:rFonts w:ascii="ArialMT" w:hAnsi="ArialMT" w:cs="ArialMT"/>
                <w:i/>
                <w:iCs/>
              </w:rPr>
              <w:t xml:space="preserve">focuses </w:t>
            </w:r>
            <w:r>
              <w:rPr>
                <w:rFonts w:ascii="ArialMT" w:hAnsi="ArialMT" w:cs="ArialMT"/>
              </w:rPr>
              <w:t xml:space="preserve">on particular, personal objects associated with his subject. Extending his observations, he </w:t>
            </w:r>
            <w:r>
              <w:rPr>
                <w:rFonts w:ascii="ArialMT" w:hAnsi="ArialMT" w:cs="ArialMT"/>
                <w:i/>
                <w:iCs/>
              </w:rPr>
              <w:t xml:space="preserve">cites </w:t>
            </w:r>
            <w:r>
              <w:rPr>
                <w:rFonts w:ascii="ArialMT" w:hAnsi="ArialMT" w:cs="ArialMT"/>
              </w:rPr>
              <w:t xml:space="preserve">a paradox. He then </w:t>
            </w:r>
            <w:r>
              <w:rPr>
                <w:rFonts w:ascii="ArialMT" w:hAnsi="ArialMT" w:cs="ArialMT"/>
                <w:i/>
                <w:iCs/>
              </w:rPr>
              <w:t xml:space="preserve">focuses </w:t>
            </w:r>
            <w:r>
              <w:rPr>
                <w:rFonts w:ascii="ArialMT" w:hAnsi="ArialMT" w:cs="ArialMT"/>
              </w:rPr>
              <w:t>more narrowly on the subject and himself.</w:t>
            </w:r>
          </w:p>
          <w:p w:rsidR="002904D4" w:rsidRDefault="002904D4">
            <w:pPr>
              <w:autoSpaceDE w:val="0"/>
              <w:autoSpaceDN w:val="0"/>
              <w:adjustRightInd w:val="0"/>
              <w:spacing w:after="0" w:line="240" w:lineRule="auto"/>
              <w:rPr>
                <w:rFonts w:ascii="ArialMT" w:hAnsi="ArialMT" w:cs="ArialMT"/>
              </w:rPr>
            </w:pPr>
          </w:p>
        </w:tc>
      </w:tr>
    </w:tbl>
    <w:p w:rsidR="002904D4" w:rsidRDefault="002904D4" w:rsidP="002904D4">
      <w:pPr>
        <w:autoSpaceDE w:val="0"/>
        <w:autoSpaceDN w:val="0"/>
        <w:adjustRightInd w:val="0"/>
        <w:spacing w:after="0" w:line="240" w:lineRule="auto"/>
        <w:rPr>
          <w:rFonts w:ascii="ArialMT" w:hAnsi="ArialMT" w:cs="ArialMT"/>
        </w:rPr>
      </w:pPr>
    </w:p>
    <w:p w:rsidR="002904D4" w:rsidRDefault="002904D4" w:rsidP="002904D4">
      <w:pPr>
        <w:autoSpaceDE w:val="0"/>
        <w:autoSpaceDN w:val="0"/>
        <w:adjustRightInd w:val="0"/>
        <w:spacing w:after="0" w:line="240" w:lineRule="auto"/>
        <w:rPr>
          <w:rFonts w:ascii="ArialMT" w:hAnsi="ArialMT" w:cs="ArialMT"/>
        </w:rPr>
      </w:pPr>
      <w:r>
        <w:rPr>
          <w:rFonts w:ascii="ArialMT" w:hAnsi="ArialMT" w:cs="ArialMT"/>
        </w:rPr>
        <w:t xml:space="preserve">A reference to content in a </w:t>
      </w:r>
      <w:proofErr w:type="gramStart"/>
      <w:r>
        <w:rPr>
          <w:rFonts w:ascii="ArialMT" w:hAnsi="ArialMT" w:cs="ArialMT"/>
          <w:i/>
          <w:iCs/>
        </w:rPr>
        <w:t>does</w:t>
      </w:r>
      <w:proofErr w:type="gramEnd"/>
      <w:r>
        <w:rPr>
          <w:rFonts w:ascii="ArialMT" w:hAnsi="ArialMT" w:cs="ArialMT"/>
          <w:i/>
          <w:iCs/>
        </w:rPr>
        <w:t xml:space="preserve"> </w:t>
      </w:r>
      <w:r>
        <w:rPr>
          <w:rFonts w:ascii="ArialMT" w:hAnsi="ArialMT" w:cs="ArialMT"/>
        </w:rPr>
        <w:t xml:space="preserve">statement is generalized or referred to as a type. For instance, Murray’s comments about Vermeer may be called “a historical reference” in a </w:t>
      </w:r>
      <w:proofErr w:type="gramStart"/>
      <w:r>
        <w:rPr>
          <w:rFonts w:ascii="ArialMT" w:hAnsi="ArialMT" w:cs="ArialMT"/>
          <w:i/>
          <w:iCs/>
        </w:rPr>
        <w:t>does</w:t>
      </w:r>
      <w:proofErr w:type="gramEnd"/>
      <w:r>
        <w:rPr>
          <w:rFonts w:ascii="ArialMT" w:hAnsi="ArialMT" w:cs="ArialMT"/>
          <w:i/>
          <w:iCs/>
        </w:rPr>
        <w:t xml:space="preserve"> </w:t>
      </w:r>
      <w:r>
        <w:rPr>
          <w:rFonts w:ascii="ArialMT" w:hAnsi="ArialMT" w:cs="ArialMT"/>
        </w:rPr>
        <w:t>analysis. In another example, when Murray “cites a paradox” he observes the discrepancy between how people appeared in life (old) and how they now look in photos.</w:t>
      </w:r>
    </w:p>
    <w:p w:rsidR="002904D4" w:rsidRDefault="002904D4" w:rsidP="002904D4">
      <w:pPr>
        <w:autoSpaceDE w:val="0"/>
        <w:autoSpaceDN w:val="0"/>
        <w:adjustRightInd w:val="0"/>
        <w:spacing w:after="0" w:line="240" w:lineRule="auto"/>
        <w:rPr>
          <w:rFonts w:ascii="ArialMT" w:hAnsi="ArialMT" w:cs="ArialMT"/>
        </w:rPr>
      </w:pPr>
    </w:p>
    <w:p w:rsidR="002904D4" w:rsidRDefault="002904D4" w:rsidP="002904D4">
      <w:pPr>
        <w:autoSpaceDE w:val="0"/>
        <w:autoSpaceDN w:val="0"/>
        <w:adjustRightInd w:val="0"/>
        <w:spacing w:after="0" w:line="240" w:lineRule="auto"/>
        <w:rPr>
          <w:rFonts w:ascii="ArialMT" w:hAnsi="ArialMT" w:cs="ArialMT"/>
          <w:i/>
          <w:iCs/>
        </w:rPr>
      </w:pPr>
      <w:r>
        <w:rPr>
          <w:rFonts w:ascii="ArialMT" w:hAnsi="ArialMT" w:cs="ArialMT"/>
        </w:rPr>
        <w:t xml:space="preserve">A “Says/Does Analysis” of a text results in a </w:t>
      </w:r>
      <w:r>
        <w:rPr>
          <w:rFonts w:ascii="ArialMT" w:hAnsi="ArialMT" w:cs="ArialMT"/>
          <w:i/>
          <w:iCs/>
        </w:rPr>
        <w:t xml:space="preserve">descriptive outline. </w:t>
      </w:r>
      <w:r>
        <w:rPr>
          <w:rFonts w:ascii="ArialMT" w:hAnsi="ArialMT" w:cs="ArialMT"/>
        </w:rPr>
        <w:t xml:space="preserve">Here are some words and phrases that describe what the language of a particular text or portion of it might </w:t>
      </w:r>
      <w:r>
        <w:rPr>
          <w:rFonts w:ascii="ArialMT" w:hAnsi="ArialMT" w:cs="ArialMT"/>
          <w:i/>
          <w:iCs/>
        </w:rPr>
        <w:t>do:</w:t>
      </w:r>
    </w:p>
    <w:p w:rsidR="002904D4" w:rsidRDefault="002904D4" w:rsidP="002904D4">
      <w:pPr>
        <w:autoSpaceDE w:val="0"/>
        <w:autoSpaceDN w:val="0"/>
        <w:adjustRightInd w:val="0"/>
        <w:spacing w:after="0" w:line="240" w:lineRule="auto"/>
        <w:rPr>
          <w:rFonts w:ascii="ArialMT" w:hAnsi="ArialMT" w:cs="ArialMT"/>
          <w:i/>
          <w:iCs/>
        </w:rPr>
      </w:pPr>
    </w:p>
    <w:p w:rsidR="002904D4" w:rsidRDefault="002904D4" w:rsidP="002904D4">
      <w:pPr>
        <w:autoSpaceDE w:val="0"/>
        <w:autoSpaceDN w:val="0"/>
        <w:adjustRightInd w:val="0"/>
        <w:spacing w:after="0" w:line="240" w:lineRule="auto"/>
        <w:rPr>
          <w:rFonts w:ascii="ArialMT" w:hAnsi="ArialMT" w:cs="ArialMT"/>
        </w:rPr>
        <w:sectPr w:rsidR="002904D4" w:rsidSect="00996F4E">
          <w:pgSz w:w="12240" w:h="15840"/>
          <w:pgMar w:top="1440" w:right="1440" w:bottom="1440" w:left="1440" w:header="720" w:footer="720" w:gutter="0"/>
          <w:cols w:space="720"/>
          <w:noEndnote/>
        </w:sectPr>
      </w:pPr>
    </w:p>
    <w:p w:rsidR="002904D4" w:rsidRPr="002904D4" w:rsidRDefault="00A53F23" w:rsidP="002904D4">
      <w:pPr>
        <w:autoSpaceDE w:val="0"/>
        <w:autoSpaceDN w:val="0"/>
        <w:adjustRightInd w:val="0"/>
        <w:spacing w:after="0" w:line="240" w:lineRule="auto"/>
        <w:rPr>
          <w:rFonts w:ascii="ArialMT" w:hAnsi="ArialMT" w:cs="ArialMT"/>
          <w:i/>
          <w:iCs/>
        </w:rPr>
      </w:pPr>
      <w:r>
        <w:rPr>
          <w:rFonts w:ascii="ArialMT" w:hAnsi="ArialMT" w:cs="ArialMT"/>
        </w:rPr>
        <w:lastRenderedPageBreak/>
        <w:t>categorize</w:t>
      </w:r>
      <w:bookmarkStart w:id="0" w:name="_GoBack"/>
      <w:bookmarkEnd w:id="0"/>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cite</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compare</w:t>
      </w:r>
      <w:proofErr w:type="gramEnd"/>
      <w:r>
        <w:rPr>
          <w:rFonts w:ascii="ArialMT" w:hAnsi="ArialMT" w:cs="ArialMT"/>
        </w:rPr>
        <w:t xml:space="preserve"> </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contrast</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convey</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deepen</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describe</w:t>
      </w:r>
      <w:proofErr w:type="gramEnd"/>
      <w:r>
        <w:rPr>
          <w:rFonts w:ascii="ArialMT" w:hAnsi="ArialMT" w:cs="ArialMT"/>
        </w:rPr>
        <w:t xml:space="preserve"> </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develop</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elaborate</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evaluate</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lastRenderedPageBreak/>
        <w:t>exemplify</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explain</w:t>
      </w:r>
      <w:proofErr w:type="gramEnd"/>
      <w:r>
        <w:rPr>
          <w:rFonts w:ascii="ArialMT" w:hAnsi="ArialMT" w:cs="ArialMT"/>
        </w:rPr>
        <w:t xml:space="preserve"> </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focus</w:t>
      </w:r>
      <w:proofErr w:type="gramEnd"/>
      <w:r>
        <w:rPr>
          <w:rFonts w:ascii="ArialMT" w:hAnsi="ArialMT" w:cs="ArialMT"/>
        </w:rPr>
        <w:t xml:space="preserve"> on</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illustrate</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introduce</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itemize</w:t>
      </w:r>
      <w:proofErr w:type="gramEnd"/>
      <w:r>
        <w:rPr>
          <w:rFonts w:ascii="ArialMT" w:hAnsi="ArialMT" w:cs="ArialMT"/>
        </w:rPr>
        <w:t xml:space="preserve"> </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list</w:t>
      </w:r>
      <w:proofErr w:type="gramEnd"/>
      <w:r>
        <w:rPr>
          <w:rFonts w:ascii="ArialMT" w:hAnsi="ArialMT" w:cs="ArialMT"/>
        </w:rPr>
        <w:t xml:space="preserve"> </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make</w:t>
      </w:r>
      <w:proofErr w:type="gramEnd"/>
      <w:r>
        <w:rPr>
          <w:rFonts w:ascii="ArialMT" w:hAnsi="ArialMT" w:cs="ArialMT"/>
        </w:rPr>
        <w:t xml:space="preserve"> a reference to</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narrate</w:t>
      </w:r>
      <w:proofErr w:type="gramEnd"/>
      <w:r>
        <w:rPr>
          <w:rFonts w:ascii="ArialMT" w:hAnsi="ArialMT" w:cs="ArialMT"/>
        </w:rPr>
        <w:t xml:space="preserve"> </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note</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lastRenderedPageBreak/>
        <w:t>offer</w:t>
      </w:r>
      <w:proofErr w:type="gramEnd"/>
      <w:r>
        <w:rPr>
          <w:rFonts w:ascii="ArialMT" w:hAnsi="ArialMT" w:cs="ArialMT"/>
        </w:rPr>
        <w:t xml:space="preserve"> a hypothesis</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predict</w:t>
      </w:r>
      <w:proofErr w:type="gramEnd"/>
      <w:r>
        <w:rPr>
          <w:rFonts w:ascii="ArialMT" w:hAnsi="ArialMT" w:cs="ArialMT"/>
        </w:rPr>
        <w:t xml:space="preserve"> </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provide</w:t>
      </w:r>
      <w:proofErr w:type="gramEnd"/>
      <w:r>
        <w:rPr>
          <w:rFonts w:ascii="ArialMT" w:hAnsi="ArialMT" w:cs="ArialMT"/>
        </w:rPr>
        <w:t xml:space="preserve"> an example</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provide</w:t>
      </w:r>
      <w:proofErr w:type="gramEnd"/>
      <w:r>
        <w:rPr>
          <w:rFonts w:ascii="ArialMT" w:hAnsi="ArialMT" w:cs="ArialMT"/>
        </w:rPr>
        <w:t xml:space="preserve"> history </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reason</w:t>
      </w:r>
      <w:proofErr w:type="gramEnd"/>
      <w:r>
        <w:rPr>
          <w:rFonts w:ascii="ArialMT" w:hAnsi="ArialMT" w:cs="ArialMT"/>
        </w:rPr>
        <w:t xml:space="preserve"> </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refer</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reflect</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state</w:t>
      </w:r>
      <w:proofErr w:type="gramEnd"/>
      <w:r>
        <w:rPr>
          <w:rFonts w:ascii="ArialMT" w:hAnsi="ArialMT" w:cs="ArialMT"/>
        </w:rPr>
        <w:t xml:space="preserve"> a proposition </w:t>
      </w:r>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support</w:t>
      </w:r>
      <w:proofErr w:type="gramEnd"/>
    </w:p>
    <w:p w:rsid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t>synthesize</w:t>
      </w:r>
      <w:proofErr w:type="gramEnd"/>
    </w:p>
    <w:p w:rsidR="002904D4" w:rsidRDefault="002904D4" w:rsidP="002904D4">
      <w:pPr>
        <w:autoSpaceDE w:val="0"/>
        <w:autoSpaceDN w:val="0"/>
        <w:adjustRightInd w:val="0"/>
        <w:spacing w:after="0" w:line="240" w:lineRule="auto"/>
        <w:rPr>
          <w:rFonts w:ascii="ArialMT" w:hAnsi="ArialMT" w:cs="ArialMT"/>
        </w:rPr>
        <w:sectPr w:rsidR="002904D4" w:rsidSect="00A53F23">
          <w:type w:val="continuous"/>
          <w:pgSz w:w="12240" w:h="15840"/>
          <w:pgMar w:top="1440" w:right="1440" w:bottom="1440" w:left="1440" w:header="720" w:footer="720" w:gutter="0"/>
          <w:cols w:num="3" w:space="720"/>
          <w:noEndnote/>
        </w:sectPr>
      </w:pPr>
    </w:p>
    <w:p w:rsidR="00644A55" w:rsidRPr="002904D4" w:rsidRDefault="002904D4" w:rsidP="002904D4">
      <w:pPr>
        <w:autoSpaceDE w:val="0"/>
        <w:autoSpaceDN w:val="0"/>
        <w:adjustRightInd w:val="0"/>
        <w:spacing w:after="0" w:line="240" w:lineRule="auto"/>
        <w:rPr>
          <w:rFonts w:ascii="ArialMT" w:hAnsi="ArialMT" w:cs="ArialMT"/>
        </w:rPr>
      </w:pPr>
      <w:proofErr w:type="gramStart"/>
      <w:r>
        <w:rPr>
          <w:rFonts w:ascii="ArialMT" w:hAnsi="ArialMT" w:cs="ArialMT"/>
        </w:rPr>
        <w:lastRenderedPageBreak/>
        <w:t>trace</w:t>
      </w:r>
      <w:proofErr w:type="gramEnd"/>
      <w:r>
        <w:rPr>
          <w:rFonts w:ascii="ArialMT" w:hAnsi="ArialMT" w:cs="ArialMT"/>
        </w:rPr>
        <w:t xml:space="preserve"> </w:t>
      </w:r>
    </w:p>
    <w:sectPr w:rsidR="00644A55" w:rsidRPr="002904D4" w:rsidSect="00A53F23">
      <w:type w:val="continuous"/>
      <w:pgSz w:w="12240" w:h="15840"/>
      <w:pgMar w:top="1440" w:right="1440" w:bottom="1440" w:left="1440" w:header="720" w:footer="720" w:gutter="0"/>
      <w:cols w:num="3"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D4"/>
    <w:rsid w:val="002904D4"/>
    <w:rsid w:val="00644A55"/>
    <w:rsid w:val="008A02A9"/>
    <w:rsid w:val="00A5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0D161-5901-40E8-8634-385C0FD0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3</cp:revision>
  <dcterms:created xsi:type="dcterms:W3CDTF">2016-08-09T12:46:00Z</dcterms:created>
  <dcterms:modified xsi:type="dcterms:W3CDTF">2016-08-12T13:01:00Z</dcterms:modified>
</cp:coreProperties>
</file>